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cstheme="minorHAnsi"/>
          <w:b/>
          <w:bCs/>
          <w:lang w:val="it-IT"/>
        </w:rPr>
      </w:pPr>
      <w:r>
        <w:rPr>
          <w:b/>
          <w:bCs/>
          <w:lang w:val="it-IT"/>
        </w:rPr>
        <w:t>ISTITUTO COMPRENSIVO PREDAZZO - TESERO - PANCHI</w:t>
      </w:r>
      <w:r>
        <w:rPr>
          <w:rFonts w:hint="default" w:ascii="Calibri" w:hAnsi="Calibri" w:cs="Calibri"/>
          <w:b/>
          <w:bCs/>
          <w:lang w:val="it-IT"/>
        </w:rPr>
        <w:t>À</w:t>
      </w:r>
      <w:r>
        <w:rPr>
          <w:rFonts w:hint="default" w:cstheme="minorHAnsi"/>
          <w:b/>
          <w:bCs/>
          <w:lang w:val="it-IT"/>
        </w:rPr>
        <w:t xml:space="preserve"> - ZIANO</w:t>
      </w:r>
    </w:p>
    <w:p>
      <w:pPr>
        <w:numPr>
          <w:ilvl w:val="0"/>
          <w:numId w:val="0"/>
        </w:numPr>
        <w:jc w:val="center"/>
        <w:rPr>
          <w:rFonts w:hint="default" w:cstheme="minorHAnsi"/>
          <w:b/>
          <w:bCs/>
          <w:lang w:val="it-IT"/>
        </w:rPr>
      </w:pPr>
      <w:r>
        <w:rPr>
          <w:rFonts w:hint="default" w:cstheme="minorHAnsi"/>
          <w:b/>
          <w:bCs/>
          <w:lang w:val="it-IT"/>
        </w:rPr>
        <w:t>Anno scolastico 2017/2018</w:t>
      </w:r>
    </w:p>
    <w:p>
      <w:pPr>
        <w:numPr>
          <w:ilvl w:val="0"/>
          <w:numId w:val="0"/>
        </w:numPr>
        <w:jc w:val="center"/>
        <w:rPr>
          <w:rFonts w:hint="default" w:cstheme="minorHAnsi"/>
          <w:b/>
          <w:bCs/>
          <w:lang w:val="it-IT"/>
        </w:rPr>
      </w:pPr>
      <w:r>
        <w:rPr>
          <w:rFonts w:hint="default" w:cstheme="minorHAnsi"/>
          <w:b/>
          <w:bCs/>
          <w:lang w:val="it-IT"/>
        </w:rPr>
        <w:t>Lingua inglese</w:t>
      </w:r>
    </w:p>
    <w:p>
      <w:pPr>
        <w:numPr>
          <w:ilvl w:val="0"/>
          <w:numId w:val="0"/>
        </w:numPr>
        <w:jc w:val="center"/>
        <w:rPr>
          <w:rFonts w:hint="default" w:cstheme="minorHAnsi"/>
          <w:b/>
          <w:bCs/>
          <w:lang w:val="it-IT"/>
        </w:rPr>
      </w:pPr>
      <w:r>
        <w:rPr>
          <w:rFonts w:hint="default" w:cstheme="minorHAnsi"/>
          <w:b/>
          <w:bCs/>
          <w:lang w:val="it-IT"/>
        </w:rPr>
        <w:t>Prof.ssa Valeria Angela Gobber</w:t>
      </w:r>
    </w:p>
    <w:p>
      <w:pPr>
        <w:numPr>
          <w:ilvl w:val="0"/>
          <w:numId w:val="0"/>
        </w:numPr>
        <w:jc w:val="center"/>
        <w:rPr>
          <w:rFonts w:hint="default" w:cstheme="minorHAnsi"/>
          <w:b/>
          <w:bCs/>
          <w:lang w:val="it-IT"/>
        </w:rPr>
      </w:pPr>
      <w:r>
        <w:rPr>
          <w:rFonts w:hint="default" w:cstheme="minorHAnsi"/>
          <w:b/>
          <w:bCs/>
          <w:lang w:val="it-IT"/>
        </w:rPr>
        <w:t>Classe III B</w:t>
      </w:r>
    </w:p>
    <w:p>
      <w:pPr>
        <w:numPr>
          <w:ilvl w:val="0"/>
          <w:numId w:val="0"/>
        </w:numPr>
        <w:jc w:val="center"/>
        <w:rPr>
          <w:rFonts w:hint="default" w:cstheme="minorHAnsi"/>
          <w:b/>
          <w:bCs/>
          <w:lang w:val="it-IT"/>
        </w:rPr>
      </w:pPr>
    </w:p>
    <w:p>
      <w:pPr>
        <w:numPr>
          <w:ilvl w:val="0"/>
          <w:numId w:val="0"/>
        </w:numPr>
        <w:jc w:val="both"/>
        <w:rPr>
          <w:rFonts w:hint="default" w:cstheme="minorHAnsi"/>
          <w:b/>
          <w:bCs/>
          <w:lang w:val="it-IT"/>
        </w:rPr>
      </w:pPr>
    </w:p>
    <w:p>
      <w:pPr>
        <w:jc w:val="left"/>
        <w:rPr>
          <w:b/>
          <w:bCs/>
          <w:lang w:val="it-IT"/>
        </w:rPr>
      </w:pPr>
    </w:p>
    <w:p>
      <w:pPr>
        <w:jc w:val="left"/>
        <w:rPr>
          <w:b/>
          <w:bCs/>
          <w:lang w:val="it-IT"/>
        </w:rPr>
      </w:pPr>
      <w:r>
        <w:rPr>
          <w:b/>
          <w:bCs/>
          <w:lang w:val="it-IT"/>
        </w:rPr>
        <w:t>Criteri didattici seguiti</w:t>
      </w:r>
    </w:p>
    <w:p>
      <w:pPr>
        <w:jc w:val="left"/>
        <w:rPr>
          <w:lang w:val="it-IT"/>
        </w:rPr>
      </w:pPr>
    </w:p>
    <w:p>
      <w:pPr>
        <w:jc w:val="left"/>
        <w:rPr>
          <w:rFonts w:hint="default"/>
          <w:lang w:val="it-IT"/>
        </w:rPr>
      </w:pPr>
      <w:r>
        <w:rPr>
          <w:rFonts w:hint="default"/>
          <w:lang w:val="it-IT"/>
        </w:rPr>
        <w:t xml:space="preserve">I contenuti, scanditi nelle unità didattiche presentate nel testo in adozione e riconducibili a funzioni comunicative e strutture linguistiche, sono stati modulati tenendo conto del livello di partenza della classe e dei progressi di apprendimento. </w:t>
      </w:r>
    </w:p>
    <w:p>
      <w:pPr>
        <w:jc w:val="left"/>
        <w:rPr>
          <w:rFonts w:hint="default"/>
          <w:lang w:val="it-IT"/>
        </w:rPr>
      </w:pPr>
      <w:r>
        <w:rPr>
          <w:rFonts w:hint="default"/>
          <w:lang w:val="it-IT"/>
        </w:rPr>
        <w:t>Particolare importanza hanno assunto l'acquisizione del lessico, la riflessione induttiva sulla lingua, e l'acquisizione delle funzioni indispensabili per comunicare in modo soddisfacente in situazioni vicine all'esperienza dell'allievo.</w:t>
      </w:r>
    </w:p>
    <w:p>
      <w:pPr>
        <w:jc w:val="left"/>
        <w:rPr>
          <w:rFonts w:hint="default"/>
          <w:i w:val="0"/>
          <w:iCs/>
          <w:color w:val="000000"/>
          <w:lang w:val="it-IT"/>
        </w:rPr>
      </w:pPr>
      <w:r>
        <w:rPr>
          <w:color w:val="000000"/>
          <w:lang w:val="it-IT"/>
        </w:rPr>
        <w:t>Il programma è</w:t>
      </w:r>
      <w:r>
        <w:rPr>
          <w:i w:val="0"/>
          <w:iCs w:val="0"/>
          <w:color w:val="000000"/>
          <w:lang w:val="it-IT"/>
        </w:rPr>
        <w:t xml:space="preserve"> stato strutturato in unità didattiche, a loro volta articolate in modo tale da comprendere attività per sviluppare le quattro abilità (ascolto, lettura, espressione orale e produzione scritta)</w:t>
      </w:r>
      <w:r>
        <w:rPr>
          <w:i/>
          <w:color w:val="000000"/>
          <w:lang w:val="it-IT"/>
        </w:rPr>
        <w:t xml:space="preserve"> </w:t>
      </w:r>
      <w:r>
        <w:rPr>
          <w:i w:val="0"/>
          <w:iCs/>
          <w:color w:val="000000"/>
          <w:lang w:val="it-IT"/>
        </w:rPr>
        <w:t>e la conoscenza e l</w:t>
      </w:r>
      <w:r>
        <w:rPr>
          <w:rFonts w:hint="default"/>
          <w:i w:val="0"/>
          <w:iCs/>
          <w:color w:val="000000"/>
          <w:lang w:val="it-IT"/>
        </w:rPr>
        <w:t xml:space="preserve">’uso delle strutture e funzioni linguistiche. Nel corso dell’anno sono stati introdotti inoltre elementi relativi alla cultura e alla civiltà anglosassoni. </w:t>
      </w:r>
    </w:p>
    <w:p>
      <w:pPr>
        <w:jc w:val="left"/>
        <w:rPr>
          <w:rFonts w:hint="default"/>
          <w:i w:val="0"/>
          <w:iCs/>
          <w:color w:val="000000"/>
          <w:lang w:val="it-IT"/>
        </w:rPr>
      </w:pPr>
      <w:r>
        <w:rPr>
          <w:rFonts w:hint="default"/>
          <w:i w:val="0"/>
          <w:iCs/>
          <w:color w:val="000000"/>
          <w:lang w:val="it-IT"/>
        </w:rPr>
        <w:t xml:space="preserve">Per quanto riguarda le abilità ricettive (ascolto e lettura), si è cercato di guidare la comprensione da parte degli allievi mediante </w:t>
      </w:r>
      <w:r>
        <w:rPr>
          <w:color w:val="000000"/>
          <w:lang w:val="it-IT"/>
        </w:rPr>
        <w:t>l'elicitazione dei contenuti dei materiali proposti - grazie anche all'aspetto iconografico - l'esplorazione delle parole chiave, scelte multiple, domande a risposta aperta, quesiti vero o falso o griglie. Nel</w:t>
      </w:r>
      <w:r>
        <w:rPr>
          <w:rFonts w:hint="default"/>
          <w:i w:val="0"/>
          <w:iCs/>
          <w:color w:val="000000"/>
          <w:lang w:val="it-IT"/>
        </w:rPr>
        <w:t>l’ascolto si sono preferiti dialoghi autentici o altro materiale audio nel quale l’alunno potesse riconoscere le particolari intonazioni ed accento dei locutori in lingua madre. Si è dato spazio sia alla lettura silenziosa (finalizzata alla comprensione autonoma di un testo) che ad alta voce in classe (per l’acquisizione del metodo di lavoro). Si sono inoltre proposte ed esercitate diverse strategie per una lettura di tipo selettiva, orientativa e analitica. Nell’espressione orale si è data maggiore importanza alla capacità da parte dell’allievo di produrre semplici messaggi facendo riferimento a contesti il più possibile vicini alla propria realtà esperienziale. Nel caso della produzione scritta l’attenzione è stata rivolta alla scrittura di messaggi a carattere personale (lettere e email) con attività finalizzate allo sviluppo delle conoscenze relative a pianificazione del contenuto, struttura del testo, formule per saluti iniziali e finali, registro e correttezza formale.</w:t>
      </w:r>
    </w:p>
    <w:p>
      <w:pPr>
        <w:jc w:val="left"/>
        <w:rPr>
          <w:rFonts w:hint="default"/>
          <w:i w:val="0"/>
          <w:iCs/>
          <w:color w:val="000000"/>
          <w:lang w:val="it-IT"/>
        </w:rPr>
      </w:pPr>
      <w:r>
        <w:rPr>
          <w:rFonts w:hint="default"/>
          <w:i w:val="0"/>
          <w:iCs/>
          <w:color w:val="000000"/>
          <w:lang w:val="it-IT"/>
        </w:rPr>
        <w:t>Le strutture grammaticali necessarie per le singole funzioni comunicative sono state esplicitate in modo preferibilmente induttivo, partendo dall'osservazione e dal confronto di enunciati per condurre l'allievo a cogliere le regolarità della lingua. Laddove possibile sono stati fatti riferimenti e confronti con la lingua italiana e tedesca. Sono stati poi proposti esercizi di fissazione e di applicazione degli aspetti grammaticali introdotti.</w:t>
      </w:r>
    </w:p>
    <w:p>
      <w:pPr>
        <w:jc w:val="left"/>
        <w:rPr>
          <w:rFonts w:hint="default"/>
          <w:i w:val="0"/>
          <w:iCs/>
          <w:color w:val="000000"/>
          <w:lang w:val="it-IT"/>
        </w:rPr>
      </w:pPr>
      <w:r>
        <w:rPr>
          <w:rFonts w:hint="default"/>
          <w:i w:val="0"/>
          <w:iCs/>
          <w:color w:val="000000"/>
          <w:lang w:val="it-IT"/>
        </w:rPr>
        <w:t>Il metodo di lavoro ha incluso attività svolte in coppia e a piccoli gruppi, e attività di tipo ludico.</w:t>
      </w:r>
    </w:p>
    <w:p>
      <w:pPr>
        <w:jc w:val="left"/>
        <w:rPr>
          <w:rFonts w:hint="default"/>
          <w:i w:val="0"/>
          <w:iCs/>
          <w:color w:val="000000"/>
          <w:lang w:val="it-IT"/>
        </w:rPr>
      </w:pPr>
    </w:p>
    <w:p>
      <w:pPr>
        <w:jc w:val="left"/>
        <w:rPr>
          <w:b/>
          <w:color w:val="000000"/>
          <w:u w:val="none"/>
          <w:lang w:val="it-IT"/>
        </w:rPr>
      </w:pPr>
      <w:r>
        <w:rPr>
          <w:b/>
          <w:color w:val="000000"/>
          <w:u w:val="none"/>
          <w:lang w:val="it-IT"/>
        </w:rPr>
        <w:t xml:space="preserve">Test Invalsi, certificazione </w:t>
      </w:r>
      <w:r>
        <w:rPr>
          <w:rFonts w:hint="default"/>
          <w:b/>
          <w:color w:val="000000"/>
          <w:u w:val="none"/>
          <w:lang w:val="it-IT"/>
        </w:rPr>
        <w:t>“GESE” ed E</w:t>
      </w:r>
      <w:r>
        <w:rPr>
          <w:b/>
          <w:color w:val="000000"/>
          <w:u w:val="none"/>
          <w:lang w:val="it-IT"/>
        </w:rPr>
        <w:t>same di Stato</w:t>
      </w:r>
    </w:p>
    <w:p>
      <w:pPr>
        <w:spacing w:line="240" w:lineRule="auto"/>
        <w:jc w:val="left"/>
        <w:rPr>
          <w:color w:val="000000"/>
          <w:lang w:val="it-IT"/>
        </w:rPr>
      </w:pPr>
      <w:r>
        <w:rPr>
          <w:color w:val="000000"/>
          <w:lang w:val="it-IT"/>
        </w:rPr>
        <w:t xml:space="preserve">Particolare attenzione è stata rivolta alla preparazione degli allievi per il Test Invalsi, la certificazione linguistica </w:t>
      </w:r>
      <w:r>
        <w:rPr>
          <w:rFonts w:hint="default"/>
          <w:color w:val="000000"/>
          <w:lang w:val="it-IT"/>
        </w:rPr>
        <w:t xml:space="preserve">“GESE” offerta dal Trinity College e l’Esame di Stato, tenendo in considerazione le tipologie e i formati delle prove e proponendo attività specifiche per permettere agli allievi di acquisire familiarità con le stesse e facilitarli nell’affrontarle. </w:t>
      </w:r>
    </w:p>
    <w:p>
      <w:pPr>
        <w:rPr>
          <w:rFonts w:hint="default"/>
          <w:i w:val="0"/>
          <w:iCs/>
          <w:color w:val="000000"/>
          <w:lang w:val="it-IT"/>
        </w:rPr>
      </w:pPr>
    </w:p>
    <w:p>
      <w:pPr>
        <w:rPr>
          <w:rFonts w:hint="default"/>
          <w:b/>
          <w:bCs/>
          <w:i w:val="0"/>
          <w:iCs/>
          <w:color w:val="000000"/>
          <w:lang w:val="it-IT"/>
        </w:rPr>
      </w:pPr>
      <w:r>
        <w:rPr>
          <w:rFonts w:hint="default"/>
          <w:b/>
          <w:bCs/>
          <w:i w:val="0"/>
          <w:iCs/>
          <w:color w:val="000000"/>
          <w:lang w:val="it-IT"/>
        </w:rPr>
        <w:t>Strumenti utilizzati</w:t>
      </w:r>
    </w:p>
    <w:p>
      <w:pPr>
        <w:rPr>
          <w:rFonts w:hint="default"/>
          <w:b w:val="0"/>
          <w:bCs w:val="0"/>
          <w:i w:val="0"/>
          <w:iCs/>
          <w:color w:val="000000"/>
          <w:lang w:val="it-IT"/>
        </w:rPr>
      </w:pPr>
      <w:r>
        <w:rPr>
          <w:rFonts w:hint="default"/>
          <w:b w:val="0"/>
          <w:bCs w:val="0"/>
          <w:i w:val="0"/>
          <w:iCs/>
          <w:color w:val="000000"/>
          <w:lang w:val="it-IT"/>
        </w:rPr>
        <w:t>Libro di testo, cd-rom, video, fotocopie, film, canzoni.</w:t>
      </w:r>
    </w:p>
    <w:p>
      <w:pPr>
        <w:rPr>
          <w:rFonts w:hint="default"/>
          <w:b w:val="0"/>
          <w:bCs w:val="0"/>
          <w:i w:val="0"/>
          <w:iCs/>
          <w:color w:val="000000"/>
          <w:lang w:val="it-IT"/>
        </w:rPr>
      </w:pPr>
    </w:p>
    <w:p>
      <w:pPr>
        <w:rPr>
          <w:rFonts w:hint="default"/>
          <w:b/>
          <w:bCs/>
          <w:i w:val="0"/>
          <w:iCs/>
          <w:color w:val="000000"/>
          <w:lang w:val="it-IT"/>
        </w:rPr>
      </w:pPr>
      <w:r>
        <w:rPr>
          <w:rFonts w:hint="default"/>
          <w:b/>
          <w:bCs/>
          <w:i w:val="0"/>
          <w:iCs/>
          <w:color w:val="000000"/>
          <w:lang w:val="it-IT"/>
        </w:rPr>
        <w:t>Verifica degli apprendimenti</w:t>
      </w:r>
    </w:p>
    <w:p>
      <w:pPr>
        <w:spacing w:line="240" w:lineRule="auto"/>
        <w:jc w:val="both"/>
        <w:rPr>
          <w:color w:val="000000"/>
          <w:lang w:val="it-IT"/>
        </w:rPr>
      </w:pPr>
      <w:r>
        <w:rPr>
          <w:rFonts w:hint="default"/>
          <w:b w:val="0"/>
          <w:bCs w:val="0"/>
          <w:i w:val="0"/>
          <w:iCs/>
          <w:color w:val="000000"/>
          <w:lang w:val="it-IT"/>
        </w:rPr>
        <w:t>Le verifiche sono state sia di tipo formativo sia di tipo sommativo, conseguenti e coerenti rispetto al lavoro svolto in classe. I test scritti sono stati articolati in diver</w:t>
      </w:r>
      <w:bookmarkStart w:id="0" w:name="_GoBack"/>
      <w:bookmarkEnd w:id="0"/>
      <w:r>
        <w:rPr>
          <w:rFonts w:hint="default"/>
          <w:b w:val="0"/>
          <w:bCs w:val="0"/>
          <w:i w:val="0"/>
          <w:iCs/>
          <w:color w:val="000000"/>
          <w:lang w:val="it-IT"/>
        </w:rPr>
        <w:t>se sezioni (grammatica, ascolto, lettura, produzione). Le verifiche orali hanno compreso interventi brevi e frequenti dal posto, esercizi di trasformazione e di completamento, lettura e comprensione di testi scritti, colloquio su argomenti affrontati in classe, riflessione su aspetti grammaticali.</w:t>
      </w:r>
    </w:p>
    <w:p>
      <w:pPr>
        <w:rPr>
          <w:rFonts w:hint="default"/>
          <w:b/>
          <w:bCs/>
          <w:i w:val="0"/>
          <w:iCs/>
          <w:color w:val="000000"/>
          <w:lang w:val="it-IT"/>
        </w:rPr>
      </w:pPr>
    </w:p>
    <w:p>
      <w:pPr>
        <w:rPr>
          <w:rFonts w:hint="default"/>
          <w:i w:val="0"/>
          <w:iCs/>
          <w:color w:val="000000"/>
          <w:lang w:val="it-IT"/>
        </w:rPr>
      </w:pPr>
      <w:r>
        <w:rPr>
          <w:rFonts w:hint="default"/>
          <w:b/>
          <w:bCs/>
          <w:i w:val="0"/>
          <w:iCs/>
          <w:color w:val="000000"/>
          <w:lang w:val="it-IT"/>
        </w:rPr>
        <w:t xml:space="preserve">Valutazione </w:t>
      </w:r>
    </w:p>
    <w:p>
      <w:pPr>
        <w:rPr>
          <w:rFonts w:hint="default"/>
          <w:color w:val="000000"/>
          <w:lang w:val="it-IT"/>
        </w:rPr>
      </w:pPr>
      <w:r>
        <w:rPr>
          <w:color w:val="000000"/>
          <w:lang w:val="it-IT"/>
        </w:rPr>
        <w:t>L</w:t>
      </w:r>
      <w:r>
        <w:rPr>
          <w:rFonts w:hint="default"/>
          <w:color w:val="000000"/>
          <w:lang w:val="it-IT"/>
        </w:rPr>
        <w:t xml:space="preserve">e verifiche hanno accertato il grado di apprendimento degli allievi e il raggiungimento degli obiettivi prefissati. </w:t>
      </w:r>
      <w:r>
        <w:rPr>
          <w:color w:val="000000"/>
          <w:lang w:val="it-IT"/>
        </w:rPr>
        <w:t xml:space="preserve">Lo svolgimento regolare dei compiti per casa, </w:t>
      </w:r>
      <w:r>
        <w:rPr>
          <w:rFonts w:hint="default"/>
          <w:color w:val="000000"/>
          <w:lang w:val="it-IT"/>
        </w:rPr>
        <w:t xml:space="preserve">l’impegno dimostrato, la partecipazione, </w:t>
      </w:r>
      <w:r>
        <w:rPr>
          <w:color w:val="000000"/>
          <w:lang w:val="it-IT"/>
        </w:rPr>
        <w:t xml:space="preserve">gli interventi orali pertinenti sono componenti essenziali del giudizio espresso. </w:t>
      </w:r>
      <w:r>
        <w:rPr>
          <w:rFonts w:hint="default"/>
          <w:color w:val="000000"/>
          <w:lang w:val="it-IT"/>
        </w:rPr>
        <w:t>Sono stati considerati inoltre i livelli di partenza, i miglioramenti conseguiti in itinere, il rispetto delle consegne, le capacità effettivamente sfruttate e i risultati raggiunti.</w:t>
      </w:r>
    </w:p>
    <w:p>
      <w:pPr>
        <w:rPr>
          <w:rFonts w:hint="default"/>
          <w:color w:val="000000"/>
          <w:lang w:val="it-IT"/>
        </w:rPr>
      </w:pPr>
    </w:p>
    <w:tbl>
      <w:tblPr>
        <w:tblStyle w:val="6"/>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3515"/>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5" w:type="dxa"/>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b/>
                <w:bCs/>
                <w:sz w:val="22"/>
                <w:szCs w:val="22"/>
                <w:vertAlign w:val="baseline"/>
                <w:lang w:val="it-IT"/>
              </w:rPr>
            </w:pPr>
            <w:r>
              <w:rPr>
                <w:rFonts w:hint="default"/>
                <w:b/>
                <w:bCs/>
                <w:sz w:val="22"/>
                <w:szCs w:val="22"/>
                <w:vertAlign w:val="baseline"/>
                <w:lang w:val="it-IT"/>
              </w:rPr>
              <w:t>Funzioni comunicative</w:t>
            </w:r>
          </w:p>
        </w:tc>
        <w:tc>
          <w:tcPr>
            <w:tcW w:w="3515" w:type="dxa"/>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b/>
                <w:bCs/>
                <w:sz w:val="22"/>
                <w:szCs w:val="22"/>
                <w:vertAlign w:val="baseline"/>
                <w:lang w:val="it-IT"/>
              </w:rPr>
            </w:pPr>
            <w:r>
              <w:rPr>
                <w:rFonts w:hint="default"/>
                <w:b/>
                <w:bCs/>
                <w:sz w:val="22"/>
                <w:szCs w:val="22"/>
                <w:vertAlign w:val="baseline"/>
                <w:lang w:val="it-IT"/>
              </w:rPr>
              <w:t>Strutture grammaticali</w:t>
            </w:r>
          </w:p>
        </w:tc>
        <w:tc>
          <w:tcPr>
            <w:tcW w:w="3515" w:type="dxa"/>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b/>
                <w:bCs/>
                <w:sz w:val="22"/>
                <w:szCs w:val="22"/>
                <w:vertAlign w:val="baseline"/>
                <w:lang w:val="it-IT"/>
              </w:rPr>
            </w:pPr>
            <w:r>
              <w:rPr>
                <w:rFonts w:hint="default"/>
                <w:b/>
                <w:bCs/>
                <w:sz w:val="22"/>
                <w:szCs w:val="22"/>
                <w:vertAlign w:val="baseline"/>
                <w:lang w:val="it-IT"/>
              </w:rPr>
              <w:t>Ambito lessicale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5" w:type="dxa"/>
          </w:tcPr>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ind w:left="420" w:leftChars="0" w:right="0" w:rightChars="0" w:hanging="420" w:firstLineChars="0"/>
              <w:jc w:val="left"/>
              <w:textAlignment w:val="auto"/>
              <w:outlineLvl w:val="9"/>
              <w:rPr>
                <w:rFonts w:hint="default"/>
                <w:sz w:val="22"/>
                <w:szCs w:val="22"/>
                <w:vertAlign w:val="baseline"/>
                <w:lang w:val="it-IT"/>
              </w:rPr>
            </w:pPr>
            <w:r>
              <w:rPr>
                <w:rFonts w:hint="default"/>
                <w:sz w:val="22"/>
                <w:szCs w:val="22"/>
                <w:vertAlign w:val="baseline"/>
                <w:lang w:val="it-IT"/>
              </w:rPr>
              <w:t>Chiedere e dare informazioni personali</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Descrivere persone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Indicare rapporti di parentela ed esprimere relazioni di appartenenza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Chiedere e dire l’ora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Chiedere e dire ciò che si sa o non si sa fare</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Indicare la posizione di oggetti / edifici in città</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Parlare di routines/abitudini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parlare di hobby e tempo libero</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Parlare di ciò che piace o non piace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Parlare di azioni in corso di svolgimento 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dare indicazioni stradali</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Parlare di avvenimenti passati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Raccontare viaggi, gite scolastiche o vacanze 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Fare confronti 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Esprimere obblighi e divieti  </w:t>
            </w:r>
          </w:p>
          <w:p>
            <w:pPr>
              <w:widowControl w:val="0"/>
              <w:numPr>
                <w:ilvl w:val="0"/>
                <w:numId w:val="1"/>
              </w:numPr>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Parlare e chiedere di programmi futuri </w:t>
            </w:r>
          </w:p>
          <w:p>
            <w:pPr>
              <w:keepNext w:val="0"/>
              <w:keepLines w:val="0"/>
              <w:pageBreakBefore w:val="0"/>
              <w:widowControl/>
              <w:numPr>
                <w:ilvl w:val="0"/>
                <w:numId w:val="1"/>
              </w:numPr>
              <w:kinsoku/>
              <w:wordWrap/>
              <w:overflowPunct/>
              <w:topLinePunct w:val="0"/>
              <w:autoSpaceDE/>
              <w:autoSpaceDN/>
              <w:bidi w:val="0"/>
              <w:adjustRightInd/>
              <w:snapToGrid/>
              <w:spacing w:after="181" w:afterLines="50" w:line="240" w:lineRule="auto"/>
              <w:ind w:left="420" w:leftChars="0" w:right="0" w:rightChars="0" w:hanging="420" w:firstLineChars="0"/>
              <w:jc w:val="left"/>
              <w:textAlignment w:val="auto"/>
              <w:outlineLvl w:val="9"/>
              <w:rPr>
                <w:rFonts w:hint="default"/>
                <w:sz w:val="22"/>
                <w:szCs w:val="22"/>
                <w:lang w:val="it-IT"/>
              </w:rPr>
            </w:pPr>
            <w:r>
              <w:rPr>
                <w:rFonts w:hint="default"/>
                <w:sz w:val="22"/>
                <w:szCs w:val="22"/>
                <w:lang w:val="it-IT"/>
              </w:rPr>
              <w:t xml:space="preserve">Scrivere una lettera o un’email ad un amico  </w:t>
            </w:r>
          </w:p>
        </w:tc>
        <w:tc>
          <w:tcPr>
            <w:tcW w:w="3515" w:type="dxa"/>
          </w:tcPr>
          <w:p>
            <w:pPr>
              <w:keepNext w:val="0"/>
              <w:keepLines w:val="0"/>
              <w:pageBreakBefore w:val="0"/>
              <w:widowControl/>
              <w:numPr>
                <w:ilvl w:val="0"/>
                <w:numId w:val="2"/>
              </w:numPr>
              <w:tabs>
                <w:tab w:val="clear" w:pos="420"/>
              </w:tabs>
              <w:kinsoku/>
              <w:wordWrap/>
              <w:overflowPunct/>
              <w:topLinePunct w:val="0"/>
              <w:autoSpaceDE/>
              <w:autoSpaceDN/>
              <w:bidi w:val="0"/>
              <w:adjustRightInd/>
              <w:snapToGrid/>
              <w:spacing w:before="181" w:beforeLines="50" w:line="240" w:lineRule="auto"/>
              <w:ind w:left="420" w:leftChars="0" w:right="0" w:rightChars="0" w:hanging="420" w:firstLineChars="0"/>
              <w:jc w:val="left"/>
              <w:textAlignment w:val="auto"/>
              <w:outlineLvl w:val="9"/>
              <w:rPr>
                <w:rFonts w:hint="default"/>
                <w:sz w:val="22"/>
                <w:szCs w:val="22"/>
                <w:vertAlign w:val="baseline"/>
                <w:lang w:val="it-IT"/>
              </w:rPr>
            </w:pPr>
            <w:r>
              <w:rPr>
                <w:rFonts w:hint="default"/>
                <w:sz w:val="22"/>
                <w:szCs w:val="22"/>
                <w:vertAlign w:val="baseline"/>
                <w:lang w:val="it-IT"/>
              </w:rPr>
              <w:t>Avverbi di frequenza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Wh- questions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Love/hate/like/prefer/don’t mind + ing</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Preposizioni di tempo, spazio e movimento</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Simple past del verbo “to be” e dei verbi regolari e irregolari 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Comparativi e superlativi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Present Continuous con significato di futuro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How long... ?  +  take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Be going to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Composti di some / any / no / every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 xml:space="preserve">Must/mustn’t  </w:t>
            </w:r>
          </w:p>
          <w:p>
            <w:pPr>
              <w:widowControl w:val="0"/>
              <w:numPr>
                <w:ilvl w:val="0"/>
                <w:numId w:val="2"/>
              </w:numPr>
              <w:tabs>
                <w:tab w:val="clear" w:pos="420"/>
              </w:tabs>
              <w:ind w:left="420" w:leftChars="0" w:hanging="420" w:firstLineChars="0"/>
              <w:jc w:val="left"/>
              <w:rPr>
                <w:rFonts w:hint="default"/>
                <w:sz w:val="22"/>
                <w:szCs w:val="22"/>
                <w:vertAlign w:val="baseline"/>
                <w:lang w:val="it-IT"/>
              </w:rPr>
            </w:pPr>
            <w:r>
              <w:rPr>
                <w:rFonts w:hint="default"/>
                <w:sz w:val="22"/>
                <w:szCs w:val="22"/>
                <w:vertAlign w:val="baseline"/>
                <w:lang w:val="it-IT"/>
              </w:rPr>
              <w:t>Have to/don’t have to </w:t>
            </w:r>
          </w:p>
        </w:tc>
        <w:tc>
          <w:tcPr>
            <w:tcW w:w="3515" w:type="dxa"/>
          </w:tcPr>
          <w:p>
            <w:pPr>
              <w:keepNext w:val="0"/>
              <w:keepLines w:val="0"/>
              <w:pageBreakBefore w:val="0"/>
              <w:widowControl/>
              <w:numPr>
                <w:ilvl w:val="0"/>
                <w:numId w:val="3"/>
              </w:numPr>
              <w:tabs>
                <w:tab w:val="clear" w:pos="420"/>
              </w:tabs>
              <w:kinsoku/>
              <w:wordWrap/>
              <w:overflowPunct/>
              <w:topLinePunct w:val="0"/>
              <w:autoSpaceDE/>
              <w:autoSpaceDN/>
              <w:bidi w:val="0"/>
              <w:adjustRightInd/>
              <w:snapToGrid/>
              <w:spacing w:before="181" w:beforeLines="50" w:line="240" w:lineRule="auto"/>
              <w:ind w:left="420" w:leftChars="0" w:right="0" w:rightChars="0" w:hanging="420" w:firstLineChars="0"/>
              <w:jc w:val="both"/>
              <w:textAlignment w:val="auto"/>
              <w:outlineLvl w:val="9"/>
              <w:rPr>
                <w:rFonts w:hint="default"/>
                <w:sz w:val="22"/>
                <w:szCs w:val="22"/>
                <w:vertAlign w:val="baseline"/>
                <w:lang w:val="it-IT"/>
              </w:rPr>
            </w:pPr>
            <w:r>
              <w:rPr>
                <w:rFonts w:hint="default"/>
                <w:sz w:val="22"/>
                <w:szCs w:val="22"/>
                <w:vertAlign w:val="baseline"/>
                <w:lang w:val="it-IT"/>
              </w:rPr>
              <w:t>Relazioni parentali</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Descrizioni fisiche</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Scuola</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Tempo libero</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Vacanze</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Shopping</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Mezzi di trasporto</w:t>
            </w:r>
          </w:p>
          <w:p>
            <w:pPr>
              <w:widowControl w:val="0"/>
              <w:numPr>
                <w:ilvl w:val="0"/>
                <w:numId w:val="3"/>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Luoghi in città / negozi</w:t>
            </w:r>
          </w:p>
          <w:p>
            <w:pPr>
              <w:widowControl w:val="0"/>
              <w:numPr>
                <w:ilvl w:val="0"/>
                <w:numId w:val="0"/>
              </w:numPr>
              <w:jc w:val="both"/>
              <w:rPr>
                <w:rFonts w:hint="default"/>
                <w:sz w:val="22"/>
                <w:szCs w:val="22"/>
                <w:vertAlign w:val="baseline"/>
                <w:lang w:val="it-IT"/>
              </w:rPr>
            </w:pPr>
          </w:p>
        </w:tc>
      </w:tr>
    </w:tbl>
    <w:p>
      <w:pPr>
        <w:rPr>
          <w:lang w:val="it-IT"/>
        </w:rPr>
      </w:pPr>
    </w:p>
    <w:tbl>
      <w:tblPr>
        <w:tblStyle w:val="6"/>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181" w:afterLines="50" w:line="240" w:lineRule="auto"/>
              <w:ind w:left="0" w:leftChars="0" w:right="0" w:rightChars="0" w:firstLine="0" w:firstLineChars="0"/>
              <w:jc w:val="center"/>
              <w:textAlignment w:val="auto"/>
              <w:outlineLvl w:val="9"/>
              <w:rPr>
                <w:rFonts w:hint="default"/>
                <w:b/>
                <w:bCs/>
                <w:sz w:val="22"/>
                <w:szCs w:val="22"/>
                <w:vertAlign w:val="baseline"/>
                <w:lang w:val="it-IT"/>
              </w:rPr>
            </w:pPr>
            <w:r>
              <w:rPr>
                <w:rFonts w:hint="default"/>
                <w:b/>
                <w:bCs/>
                <w:sz w:val="22"/>
                <w:szCs w:val="22"/>
                <w:vertAlign w:val="baseline"/>
                <w:lang w:val="it-IT"/>
              </w:rPr>
              <w:t>Argomenti di cultura e civiltà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2" w:type="dxa"/>
          </w:tcPr>
          <w:p>
            <w:pPr>
              <w:keepNext w:val="0"/>
              <w:keepLines w:val="0"/>
              <w:pageBreakBefore w:val="0"/>
              <w:widowControl/>
              <w:numPr>
                <w:ilvl w:val="0"/>
                <w:numId w:val="4"/>
              </w:numPr>
              <w:tabs>
                <w:tab w:val="clear" w:pos="420"/>
              </w:tabs>
              <w:kinsoku/>
              <w:wordWrap/>
              <w:overflowPunct/>
              <w:topLinePunct w:val="0"/>
              <w:autoSpaceDE/>
              <w:autoSpaceDN/>
              <w:bidi w:val="0"/>
              <w:adjustRightInd/>
              <w:snapToGrid/>
              <w:spacing w:before="181" w:beforeLines="50" w:line="240" w:lineRule="auto"/>
              <w:ind w:left="420" w:leftChars="0" w:right="0" w:rightChars="0" w:hanging="420" w:firstLineChars="0"/>
              <w:jc w:val="left"/>
              <w:textAlignment w:val="auto"/>
              <w:outlineLvl w:val="9"/>
              <w:rPr>
                <w:rFonts w:hint="default"/>
                <w:sz w:val="22"/>
                <w:szCs w:val="22"/>
                <w:vertAlign w:val="baseline"/>
                <w:lang w:val="it-IT"/>
              </w:rPr>
            </w:pPr>
            <w:r>
              <w:rPr>
                <w:rFonts w:hint="default"/>
                <w:sz w:val="22"/>
                <w:szCs w:val="22"/>
                <w:vertAlign w:val="baseline"/>
                <w:lang w:val="it-IT"/>
              </w:rPr>
              <w:t>An Amish town in America</w:t>
            </w:r>
          </w:p>
          <w:p>
            <w:pPr>
              <w:widowControl w:val="0"/>
              <w:numPr>
                <w:ilvl w:val="0"/>
                <w:numId w:val="4"/>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Scotland</w:t>
            </w:r>
          </w:p>
          <w:p>
            <w:pPr>
              <w:widowControl w:val="0"/>
              <w:numPr>
                <w:ilvl w:val="0"/>
                <w:numId w:val="4"/>
              </w:numPr>
              <w:tabs>
                <w:tab w:val="clear" w:pos="420"/>
              </w:tabs>
              <w:ind w:left="420" w:leftChars="0" w:hanging="420" w:firstLineChars="0"/>
              <w:jc w:val="both"/>
              <w:rPr>
                <w:rFonts w:hint="default"/>
                <w:sz w:val="22"/>
                <w:szCs w:val="22"/>
                <w:vertAlign w:val="baseline"/>
                <w:lang w:val="it-IT"/>
              </w:rPr>
            </w:pPr>
            <w:r>
              <w:rPr>
                <w:rFonts w:hint="default"/>
                <w:sz w:val="22"/>
                <w:szCs w:val="22"/>
                <w:vertAlign w:val="baseline"/>
                <w:lang w:val="it-IT"/>
              </w:rPr>
              <w:t>Mount Rushmore</w:t>
            </w:r>
          </w:p>
          <w:p>
            <w:pPr>
              <w:keepNext w:val="0"/>
              <w:keepLines w:val="0"/>
              <w:pageBreakBefore w:val="0"/>
              <w:widowControl/>
              <w:numPr>
                <w:ilvl w:val="0"/>
                <w:numId w:val="4"/>
              </w:numPr>
              <w:tabs>
                <w:tab w:val="clear" w:pos="420"/>
              </w:tabs>
              <w:kinsoku/>
              <w:wordWrap/>
              <w:overflowPunct/>
              <w:topLinePunct w:val="0"/>
              <w:autoSpaceDE/>
              <w:autoSpaceDN/>
              <w:bidi w:val="0"/>
              <w:adjustRightInd/>
              <w:snapToGrid/>
              <w:spacing w:after="181" w:afterLines="50" w:line="240" w:lineRule="auto"/>
              <w:ind w:left="420" w:leftChars="0" w:right="0" w:rightChars="0" w:hanging="420" w:firstLineChars="0"/>
              <w:jc w:val="left"/>
              <w:textAlignment w:val="auto"/>
              <w:outlineLvl w:val="9"/>
              <w:rPr>
                <w:rFonts w:hint="default"/>
                <w:sz w:val="22"/>
                <w:szCs w:val="22"/>
                <w:vertAlign w:val="baseline"/>
                <w:lang w:val="it-IT"/>
              </w:rPr>
            </w:pPr>
            <w:r>
              <w:rPr>
                <w:rFonts w:hint="default"/>
                <w:sz w:val="22"/>
                <w:szCs w:val="22"/>
                <w:vertAlign w:val="baseline"/>
                <w:lang w:val="it-IT"/>
              </w:rPr>
              <w:t>A Technological college in the UK</w:t>
            </w:r>
          </w:p>
        </w:tc>
      </w:tr>
    </w:tbl>
    <w:p>
      <w:pPr>
        <w:rPr>
          <w:lang w:val="it-IT"/>
        </w:rPr>
      </w:pPr>
    </w:p>
    <w:sectPr>
      <w:footerReference r:id="rId3" w:type="default"/>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lang w:val="it-IT"/>
      </w:rPr>
    </w:pPr>
    <w:r>
      <w:rPr>
        <w:lang w:val="it-IT"/>
      </w:rPr>
      <w:t>Lingua inglese - Programma effettivamente svolto e criteri didattici seguiti</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D3E90"/>
    <w:multiLevelType w:val="singleLevel"/>
    <w:tmpl w:val="A6DD3E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2281A6F7"/>
    <w:multiLevelType w:val="singleLevel"/>
    <w:tmpl w:val="2281A6F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2E00AFC"/>
    <w:multiLevelType w:val="singleLevel"/>
    <w:tmpl w:val="72E00AF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7682905B"/>
    <w:multiLevelType w:val="singleLevel"/>
    <w:tmpl w:val="7682905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B4AE7"/>
    <w:rsid w:val="4579135D"/>
    <w:rsid w:val="550B4AE7"/>
    <w:rsid w:val="66556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2018-06-02T15:28:00Z</dcterms:created>
  <dc:creator>Valeria</dc:creator>
  <cp:lastModifiedBy>Valeria</cp:lastModifiedBy>
  <dcterms:modified xsi:type="dcterms:W3CDTF">2018-06-02T17:06:59Z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