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DIDATTICA DI GEOGRAFIA - PROGRAMMA SVOLTO </w:t>
      </w:r>
      <w:r w:rsidDel="00000000" w:rsidR="00000000" w:rsidRPr="00000000">
        <w:rPr>
          <w:i w:val="1"/>
          <w:sz w:val="22"/>
          <w:szCs w:val="22"/>
          <w:rtl w:val="0"/>
        </w:rPr>
        <w:t xml:space="preserve">ANNO SCOLASTICO 2017-2018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CLASSI 3^ sezione A-C</w:t>
      </w:r>
    </w:p>
    <w:p w:rsidR="00000000" w:rsidDel="00000000" w:rsidP="00000000" w:rsidRDefault="00000000" w:rsidRPr="00000000" w14:paraId="00000003">
      <w:pPr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ARGOMENTI DIDATTICI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12"/>
        <w:gridCol w:w="7966"/>
        <w:tblGridChange w:id="0">
          <w:tblGrid>
            <w:gridCol w:w="1812"/>
            <w:gridCol w:w="7966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1° quadrimestre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GEOGRAFIA, SCIENZA DEL TERRITORIO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cos’è la geografia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parole chiave della geografia: spazio, territorio, paesaggio, ambiente, luogo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cos’è un ecosistema; gli ecosistemi più fragili del nostro pianeta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 PIANETA TERRA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collocazione del pianeta Terra nel sistema solare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movimenti della Terra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forze endogene e forze esogene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struttura interna della Terra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teoria della tettonica a placche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vulcani e terremoti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continenti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biosfera: idrosfera, litosfera, atmosfera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oceani e mari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 CLIMA ED I SUOI CAMBIAMENTI:</w:t>
            </w:r>
          </w:p>
          <w:p w:rsidR="00000000" w:rsidDel="00000000" w:rsidP="00000000" w:rsidRDefault="00000000" w:rsidRPr="00000000" w14:paraId="00000020">
            <w:pPr>
              <w:ind w:left="720" w:firstLine="0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cos’è il clima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differenza tra tempo atmosferico e clima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cos’è un bioma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fasce climatiche: la fascia torrida o equatoriale, le fasce temperate, le fasce fredde o polari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cambiamenti climatici: l’effetto serra, il buco dell’ozono, le piogge acide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 POPOLAZIONE DEL NOSTRO PIANETA: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demografia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grandi cambiamenti demografici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distribuzione della popolazione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città e campagna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migrazioni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lingue del mondo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religioni del mondo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L’ECONOMIA DEL PIANETA E LA GLOBALIZZAZIONE: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Breve storia economica dal XIX secolo ad oggi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l’economia oggi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PIL , PIL procapite, ISU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sviluppo e sottosviluppo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cos’è la globalizzazione ed i suoi effetti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disponibilità delle risorse e sviluppo sostenibile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lavoro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risorse, materie prime ed energia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risorsa acqua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agricoltura, allevamento e pesca, industria, servizi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GEOPOLITICA NELL’ERA DELLA GLOBALIZZAZIONE: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forme di governo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sistema politico mondiale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 guerre recenti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l’ONU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diritti umani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2° quadrimestre</w:t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left"/>
              <w:rPr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L’ASIA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territorio, le caratteristiche morfologiche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storia asiatica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popoli ed etnie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religioni e lingue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economia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Asia Occidentale: Arabia Saudita,Israele,Iran, Iraq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Asia Centrale: Afghanistan,Armenia, Kazakistan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Asia del Sud: India,Pakistan, Nepal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Sud-est asiatico.Thailandia, Vietnam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Estremo Oriente: Cina, Giappone, Corea del Sud, Corea del Nord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Approfondimenti: I talebani, la guerra arabo-palestinese, il genocidio degli Armeni, il fenomeno sociale degli Hikikomori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L’AMERICA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territorio, le caratteristiche morfologiche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storia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popoli ed etnie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religioni e lingue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economia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America Settentrionale: Canada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 E STRUMENTI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Lezioni frontali e interattive;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spiegazioni realizzate secondo un approccio graduale ai contenuti e mirante a valorizzare l’esperienza degli alunni;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lezioni di approfondimento eseguite con le tecniche dell’insegnamento reciproco: es. Jigsaw;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brainstorming;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cooperative learning;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laboratorio;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dibattiti e discussioni guidate;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esecuzione di lavori pratici quali cartelloni, grafici, power point;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di libri di testo, LIM, giornali;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di organizzatori anticipati: filmati, immagini, schemi, riassunti, foto.</w:t>
      </w:r>
    </w:p>
    <w:p w:rsidR="00000000" w:rsidDel="00000000" w:rsidP="00000000" w:rsidRDefault="00000000" w:rsidRPr="00000000" w14:paraId="0000007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40" w:lineRule="auto"/>
        <w:contextualSpacing w:val="0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Predazzo, giugno 2018</w:t>
        <w:tab/>
        <w:tab/>
        <w:tab/>
        <w:tab/>
        <w:tab/>
        <w:tab/>
        <w:t xml:space="preserve">La docente </w:t>
      </w:r>
    </w:p>
    <w:p w:rsidR="00000000" w:rsidDel="00000000" w:rsidP="00000000" w:rsidRDefault="00000000" w:rsidRPr="00000000" w14:paraId="00000074">
      <w:pPr>
        <w:ind w:left="5760" w:firstLine="720"/>
        <w:contextualSpacing w:val="0"/>
        <w:rPr/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Nadia Riparini</w:t>
        <w:tab/>
        <w:tab/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ab/>
        <w:tab/>
        <w:tab/>
        <w:tab/>
        <w:tab/>
        <w:t xml:space="preserve">        </w:t>
      </w: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ab/>
        <w:tab/>
        <w:tab/>
        <w:tab/>
        <w:tab/>
        <w:t xml:space="preserve">          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8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